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001" w:rsidRPr="00793001" w:rsidRDefault="00793001" w:rsidP="00793001">
      <w:pPr>
        <w:shd w:val="clear" w:color="auto" w:fill="E6F1F5"/>
        <w:spacing w:after="0" w:line="270" w:lineRule="atLeast"/>
        <w:jc w:val="center"/>
        <w:rPr>
          <w:rFonts w:ascii="Verdana" w:eastAsia="Times New Roman" w:hAnsi="Verdana" w:cs="Times New Roman"/>
          <w:color w:val="000000"/>
          <w:sz w:val="15"/>
          <w:szCs w:val="15"/>
          <w:lang w:eastAsia="tr-TR"/>
        </w:rPr>
      </w:pPr>
      <w:r w:rsidRPr="00793001">
        <w:rPr>
          <w:rFonts w:ascii="Verdana" w:eastAsia="Times New Roman" w:hAnsi="Verdana" w:cs="Times New Roman"/>
          <w:b/>
          <w:bCs/>
          <w:color w:val="000000"/>
          <w:sz w:val="24"/>
          <w:szCs w:val="24"/>
          <w:lang w:eastAsia="tr-TR"/>
        </w:rPr>
        <w:t>TAPU BELGELERİ HAKKINDA UYGULAMA DEĞİŞİKLİĞİ</w:t>
      </w:r>
    </w:p>
    <w:p w:rsidR="00793001" w:rsidRPr="00793001" w:rsidRDefault="00793001" w:rsidP="00793001">
      <w:pPr>
        <w:shd w:val="clear" w:color="auto" w:fill="E6F1F5"/>
        <w:spacing w:after="0" w:line="270" w:lineRule="atLeast"/>
        <w:ind w:firstLine="708"/>
        <w:jc w:val="both"/>
        <w:rPr>
          <w:rFonts w:ascii="Verdana" w:eastAsia="Times New Roman" w:hAnsi="Verdana" w:cs="Times New Roman"/>
          <w:color w:val="000000"/>
          <w:sz w:val="15"/>
          <w:szCs w:val="15"/>
          <w:lang w:eastAsia="tr-TR"/>
        </w:rPr>
      </w:pPr>
      <w:r w:rsidRPr="00793001">
        <w:rPr>
          <w:rFonts w:ascii="Verdana" w:eastAsia="Times New Roman" w:hAnsi="Verdana" w:cs="Times New Roman"/>
          <w:color w:val="000000"/>
          <w:sz w:val="20"/>
          <w:szCs w:val="20"/>
          <w:lang w:eastAsia="tr-TR"/>
        </w:rPr>
        <w:t xml:space="preserve">16. 08. 2012 tarihinde yayınlanan “2644 Sayılı Tapu Kanununun 36. Maddesi Kapsamındaki Şirketlerin Ve İştiraklerin Taşınmaz Mülkiyeti Ve Sınırlı Aynı Hak Edinimine İlişkin Yönetmelik” yürürlüğe girmiştir. Yönetmeliğin 15.maddesi gereğince sunulan bilgilerin mevcut ortaklık yapısına uygunluğundan şirket sorumludur. Bu nedenle yetki belgesi talep dilekçesindeki bilgilerin ve tablonun titizlikle doldurulması ve ilgili yerlerin şirket yetkililerince veya vekâletnamesinde açıkça yazılı olması şartıyla vekillerince imzalanması zorunludur. </w:t>
      </w:r>
    </w:p>
    <w:p w:rsidR="00793001" w:rsidRPr="00793001" w:rsidRDefault="00793001" w:rsidP="00793001">
      <w:pPr>
        <w:shd w:val="clear" w:color="auto" w:fill="E6F1F5"/>
        <w:spacing w:after="0" w:line="270" w:lineRule="atLeast"/>
        <w:ind w:firstLine="708"/>
        <w:jc w:val="both"/>
        <w:rPr>
          <w:rFonts w:ascii="Verdana" w:eastAsia="Times New Roman" w:hAnsi="Verdana" w:cs="Times New Roman"/>
          <w:color w:val="000000"/>
          <w:sz w:val="15"/>
          <w:szCs w:val="15"/>
          <w:lang w:eastAsia="tr-TR"/>
        </w:rPr>
      </w:pPr>
      <w:r w:rsidRPr="00793001">
        <w:rPr>
          <w:rFonts w:ascii="Verdana" w:eastAsia="Times New Roman" w:hAnsi="Verdana" w:cs="Times New Roman"/>
          <w:color w:val="000000"/>
          <w:sz w:val="20"/>
          <w:szCs w:val="20"/>
          <w:lang w:eastAsia="tr-TR"/>
        </w:rPr>
        <w:t xml:space="preserve">Yönetmelik hükümleri gereğince; </w:t>
      </w:r>
    </w:p>
    <w:p w:rsidR="00793001" w:rsidRPr="00793001" w:rsidRDefault="00793001" w:rsidP="00793001">
      <w:pPr>
        <w:shd w:val="clear" w:color="auto" w:fill="E6F1F5"/>
        <w:spacing w:after="120" w:line="270" w:lineRule="atLeast"/>
        <w:ind w:firstLine="709"/>
        <w:jc w:val="both"/>
        <w:rPr>
          <w:rFonts w:ascii="Verdana" w:eastAsia="Times New Roman" w:hAnsi="Verdana" w:cs="Times New Roman"/>
          <w:color w:val="000000"/>
          <w:sz w:val="15"/>
          <w:szCs w:val="15"/>
          <w:lang w:eastAsia="tr-TR"/>
        </w:rPr>
      </w:pPr>
      <w:r w:rsidRPr="00793001">
        <w:rPr>
          <w:rFonts w:ascii="Verdana" w:eastAsia="Times New Roman" w:hAnsi="Verdana" w:cs="Times New Roman"/>
          <w:color w:val="000000"/>
          <w:sz w:val="20"/>
          <w:szCs w:val="20"/>
          <w:lang w:eastAsia="tr-TR"/>
        </w:rPr>
        <w:t>1 – Tapu Müdürlüğünce, Gayrimenkul alımı dışında yapılacak işlemlerde yabancı sermaye ile ilgili olarak herhangi bir kısıtlama olmadığından, bu durumu beyan eden </w:t>
      </w:r>
      <w:hyperlink r:id="rId4" w:history="1">
        <w:r w:rsidRPr="00793001">
          <w:rPr>
            <w:rFonts w:ascii="Verdana" w:eastAsia="Times New Roman" w:hAnsi="Verdana" w:cs="Times New Roman"/>
            <w:color w:val="0000FF"/>
            <w:sz w:val="20"/>
            <w:szCs w:val="20"/>
            <w:u w:val="single"/>
            <w:lang w:eastAsia="tr-TR"/>
          </w:rPr>
          <w:t>dilekçe</w:t>
        </w:r>
      </w:hyperlink>
      <w:r w:rsidRPr="00793001">
        <w:rPr>
          <w:rFonts w:ascii="Verdana" w:eastAsia="Times New Roman" w:hAnsi="Verdana" w:cs="Times New Roman"/>
          <w:color w:val="000000"/>
          <w:sz w:val="20"/>
          <w:szCs w:val="20"/>
          <w:lang w:eastAsia="tr-TR"/>
        </w:rPr>
        <w:t xml:space="preserve"> ile başvurulması yeterlidir.</w:t>
      </w:r>
      <w:bookmarkStart w:id="0" w:name="_GoBack"/>
      <w:bookmarkEnd w:id="0"/>
    </w:p>
    <w:p w:rsidR="00793001" w:rsidRPr="00793001" w:rsidRDefault="00793001" w:rsidP="00793001">
      <w:pPr>
        <w:shd w:val="clear" w:color="auto" w:fill="E6F1F5"/>
        <w:spacing w:after="120" w:line="270" w:lineRule="atLeast"/>
        <w:ind w:firstLine="709"/>
        <w:jc w:val="both"/>
        <w:rPr>
          <w:rFonts w:ascii="Verdana" w:eastAsia="Times New Roman" w:hAnsi="Verdana" w:cs="Times New Roman"/>
          <w:color w:val="000000"/>
          <w:sz w:val="15"/>
          <w:szCs w:val="15"/>
          <w:lang w:eastAsia="tr-TR"/>
        </w:rPr>
      </w:pPr>
      <w:r w:rsidRPr="00793001">
        <w:rPr>
          <w:rFonts w:ascii="Verdana" w:eastAsia="Times New Roman" w:hAnsi="Verdana" w:cs="Times New Roman"/>
          <w:color w:val="000000"/>
          <w:sz w:val="20"/>
          <w:szCs w:val="20"/>
          <w:lang w:eastAsia="tr-TR"/>
        </w:rPr>
        <w:t xml:space="preserve">2 - Hisseleri Borsada işlem gören şirketlerin Yetki Belgesi taleplerinde Müdürlüğümüzce özel bir işlem yapılmayacağından, bu durumu beyan eden </w:t>
      </w:r>
      <w:hyperlink r:id="rId5" w:history="1">
        <w:r w:rsidRPr="00793001">
          <w:rPr>
            <w:rFonts w:ascii="Verdana" w:eastAsia="Times New Roman" w:hAnsi="Verdana" w:cs="Times New Roman"/>
            <w:color w:val="0000FF"/>
            <w:sz w:val="20"/>
            <w:szCs w:val="20"/>
            <w:u w:val="single"/>
            <w:lang w:eastAsia="tr-TR"/>
          </w:rPr>
          <w:t>dilekçe</w:t>
        </w:r>
      </w:hyperlink>
      <w:r w:rsidRPr="00793001">
        <w:rPr>
          <w:rFonts w:ascii="Verdana" w:eastAsia="Times New Roman" w:hAnsi="Verdana" w:cs="Times New Roman"/>
          <w:color w:val="000000"/>
          <w:sz w:val="20"/>
          <w:szCs w:val="20"/>
          <w:lang w:eastAsia="tr-TR"/>
        </w:rPr>
        <w:t xml:space="preserve"> ile başvurulması yeterlidir.</w:t>
      </w:r>
    </w:p>
    <w:p w:rsidR="00793001" w:rsidRPr="00793001" w:rsidRDefault="00793001" w:rsidP="00793001">
      <w:pPr>
        <w:shd w:val="clear" w:color="auto" w:fill="E6F1F5"/>
        <w:spacing w:after="120" w:line="270" w:lineRule="atLeast"/>
        <w:ind w:firstLine="709"/>
        <w:jc w:val="both"/>
        <w:rPr>
          <w:rFonts w:ascii="Verdana" w:eastAsia="Times New Roman" w:hAnsi="Verdana" w:cs="Times New Roman"/>
          <w:color w:val="000000"/>
          <w:sz w:val="15"/>
          <w:szCs w:val="15"/>
          <w:lang w:eastAsia="tr-TR"/>
        </w:rPr>
      </w:pPr>
      <w:r w:rsidRPr="00793001">
        <w:rPr>
          <w:rFonts w:ascii="Verdana" w:eastAsia="Times New Roman" w:hAnsi="Verdana" w:cs="Times New Roman"/>
          <w:color w:val="000000"/>
          <w:sz w:val="20"/>
          <w:szCs w:val="20"/>
          <w:lang w:eastAsia="tr-TR"/>
        </w:rPr>
        <w:t xml:space="preserve">3 - Yabancı </w:t>
      </w:r>
      <w:r w:rsidRPr="00793001">
        <w:rPr>
          <w:rFonts w:ascii="Verdana" w:eastAsia="Times New Roman" w:hAnsi="Verdana" w:cs="Times New Roman"/>
          <w:b/>
          <w:color w:val="000000"/>
          <w:sz w:val="20"/>
          <w:szCs w:val="20"/>
          <w:lang w:eastAsia="tr-TR"/>
        </w:rPr>
        <w:t xml:space="preserve">sermaye oranı % 50 </w:t>
      </w:r>
      <w:proofErr w:type="spellStart"/>
      <w:r w:rsidRPr="00793001">
        <w:rPr>
          <w:rFonts w:ascii="Verdana" w:eastAsia="Times New Roman" w:hAnsi="Verdana" w:cs="Times New Roman"/>
          <w:b/>
          <w:color w:val="000000"/>
          <w:sz w:val="20"/>
          <w:szCs w:val="20"/>
          <w:lang w:eastAsia="tr-TR"/>
        </w:rPr>
        <w:t>nin</w:t>
      </w:r>
      <w:proofErr w:type="spellEnd"/>
      <w:r w:rsidRPr="00793001">
        <w:rPr>
          <w:rFonts w:ascii="Verdana" w:eastAsia="Times New Roman" w:hAnsi="Verdana" w:cs="Times New Roman"/>
          <w:b/>
          <w:color w:val="000000"/>
          <w:sz w:val="20"/>
          <w:szCs w:val="20"/>
          <w:lang w:eastAsia="tr-TR"/>
        </w:rPr>
        <w:t xml:space="preserve"> altında olan</w:t>
      </w:r>
      <w:r w:rsidRPr="00793001">
        <w:rPr>
          <w:rFonts w:ascii="Verdana" w:eastAsia="Times New Roman" w:hAnsi="Verdana" w:cs="Times New Roman"/>
          <w:color w:val="000000"/>
          <w:sz w:val="20"/>
          <w:szCs w:val="20"/>
          <w:lang w:eastAsia="tr-TR"/>
        </w:rPr>
        <w:t xml:space="preserve"> ve yabancı hissedarların şirket yöneticilerinin çoğunluğunun </w:t>
      </w:r>
      <w:r w:rsidRPr="00793001">
        <w:rPr>
          <w:rFonts w:ascii="Verdana" w:eastAsia="Times New Roman" w:hAnsi="Verdana" w:cs="Times New Roman"/>
          <w:b/>
          <w:color w:val="000000"/>
          <w:sz w:val="20"/>
          <w:szCs w:val="20"/>
          <w:lang w:eastAsia="tr-TR"/>
        </w:rPr>
        <w:t>atayabilme veya görevden alma yetkilerinin bulunmadığı</w:t>
      </w:r>
      <w:r w:rsidRPr="00793001">
        <w:rPr>
          <w:rFonts w:ascii="Verdana" w:eastAsia="Times New Roman" w:hAnsi="Verdana" w:cs="Times New Roman"/>
          <w:color w:val="000000"/>
          <w:sz w:val="20"/>
          <w:szCs w:val="20"/>
          <w:lang w:eastAsia="tr-TR"/>
        </w:rPr>
        <w:t xml:space="preserve"> şirketlerin bu durumu beyan eden </w:t>
      </w:r>
      <w:hyperlink r:id="rId6" w:history="1">
        <w:r w:rsidRPr="00793001">
          <w:rPr>
            <w:rFonts w:ascii="Verdana" w:eastAsia="Times New Roman" w:hAnsi="Verdana" w:cs="Times New Roman"/>
            <w:color w:val="0000FF"/>
            <w:sz w:val="20"/>
            <w:szCs w:val="20"/>
            <w:u w:val="single"/>
            <w:lang w:eastAsia="tr-TR"/>
          </w:rPr>
          <w:t>dilekçe</w:t>
        </w:r>
      </w:hyperlink>
      <w:r w:rsidRPr="00793001">
        <w:rPr>
          <w:rFonts w:ascii="Verdana" w:eastAsia="Times New Roman" w:hAnsi="Verdana" w:cs="Times New Roman"/>
          <w:b/>
          <w:color w:val="000000"/>
          <w:sz w:val="20"/>
          <w:szCs w:val="20"/>
          <w:lang w:eastAsia="tr-TR"/>
        </w:rPr>
        <w:t xml:space="preserve">  </w:t>
      </w:r>
      <w:r w:rsidRPr="00793001">
        <w:rPr>
          <w:rFonts w:ascii="Verdana" w:eastAsia="Times New Roman" w:hAnsi="Verdana" w:cs="Times New Roman"/>
          <w:color w:val="000000"/>
          <w:sz w:val="20"/>
          <w:szCs w:val="20"/>
          <w:lang w:eastAsia="tr-TR"/>
        </w:rPr>
        <w:t>ile müracaat etmeleri yeterlidir.</w:t>
      </w:r>
    </w:p>
    <w:p w:rsidR="00793001" w:rsidRPr="00793001" w:rsidRDefault="00793001" w:rsidP="00793001">
      <w:pPr>
        <w:shd w:val="clear" w:color="auto" w:fill="E6F1F5"/>
        <w:spacing w:after="120" w:line="270" w:lineRule="atLeast"/>
        <w:ind w:firstLine="709"/>
        <w:jc w:val="both"/>
        <w:rPr>
          <w:rFonts w:ascii="Verdana" w:eastAsia="Times New Roman" w:hAnsi="Verdana" w:cs="Times New Roman"/>
          <w:color w:val="000000"/>
          <w:sz w:val="15"/>
          <w:szCs w:val="15"/>
          <w:lang w:eastAsia="tr-TR"/>
        </w:rPr>
      </w:pPr>
      <w:r w:rsidRPr="00793001">
        <w:rPr>
          <w:rFonts w:ascii="Verdana" w:eastAsia="Times New Roman" w:hAnsi="Verdana" w:cs="Times New Roman"/>
          <w:color w:val="000000"/>
          <w:sz w:val="20"/>
          <w:szCs w:val="20"/>
          <w:lang w:eastAsia="tr-TR"/>
        </w:rPr>
        <w:t xml:space="preserve">4 - Doğrudan veya dolaylı </w:t>
      </w:r>
      <w:r w:rsidRPr="00793001">
        <w:rPr>
          <w:rFonts w:ascii="Verdana" w:eastAsia="Times New Roman" w:hAnsi="Verdana" w:cs="Times New Roman"/>
          <w:b/>
          <w:color w:val="000000"/>
          <w:sz w:val="20"/>
          <w:szCs w:val="20"/>
          <w:lang w:eastAsia="tr-TR"/>
        </w:rPr>
        <w:t>yabacı sermaye oranı %50’nin altında olmakla birlikte</w:t>
      </w:r>
      <w:r w:rsidRPr="00793001">
        <w:rPr>
          <w:rFonts w:ascii="Verdana" w:eastAsia="Times New Roman" w:hAnsi="Verdana" w:cs="Times New Roman"/>
          <w:color w:val="000000"/>
          <w:sz w:val="20"/>
          <w:szCs w:val="20"/>
          <w:lang w:eastAsia="tr-TR"/>
        </w:rPr>
        <w:t xml:space="preserve">, yabancı hissedarların şirket </w:t>
      </w:r>
      <w:r w:rsidRPr="00793001">
        <w:rPr>
          <w:rFonts w:ascii="Verdana" w:eastAsia="Times New Roman" w:hAnsi="Verdana" w:cs="Times New Roman"/>
          <w:b/>
          <w:color w:val="000000"/>
          <w:sz w:val="20"/>
          <w:szCs w:val="20"/>
          <w:lang w:eastAsia="tr-TR"/>
        </w:rPr>
        <w:t>yöneticilerinin çoğunluğun atayabilme veya görevden alma yetkilerinin bulunduğu</w:t>
      </w:r>
      <w:r w:rsidRPr="00793001">
        <w:rPr>
          <w:rFonts w:ascii="Verdana" w:eastAsia="Times New Roman" w:hAnsi="Verdana" w:cs="Times New Roman"/>
          <w:color w:val="000000"/>
          <w:sz w:val="20"/>
          <w:szCs w:val="20"/>
          <w:lang w:eastAsia="tr-TR"/>
        </w:rPr>
        <w:t xml:space="preserve"> şirketlerde gayrimenkul alımı izne tabidir. Bu şirketler gayrimenkul alımı için Yetki Belgesi talep ettiklerinde, ekte örneği sunulan </w:t>
      </w:r>
      <w:hyperlink r:id="rId7" w:history="1">
        <w:r w:rsidRPr="00793001">
          <w:rPr>
            <w:rFonts w:ascii="Verdana" w:eastAsia="Times New Roman" w:hAnsi="Verdana" w:cs="Times New Roman"/>
            <w:color w:val="0000FF"/>
            <w:sz w:val="20"/>
            <w:szCs w:val="20"/>
            <w:u w:val="single"/>
            <w:lang w:eastAsia="tr-TR"/>
          </w:rPr>
          <w:t>dilekçe</w:t>
        </w:r>
      </w:hyperlink>
      <w:r w:rsidRPr="00793001">
        <w:rPr>
          <w:rFonts w:ascii="Verdana" w:eastAsia="Times New Roman" w:hAnsi="Verdana" w:cs="Times New Roman"/>
          <w:b/>
          <w:bCs/>
          <w:color w:val="000000"/>
          <w:sz w:val="20"/>
          <w:szCs w:val="20"/>
          <w:lang w:eastAsia="tr-TR"/>
        </w:rPr>
        <w:t xml:space="preserve"> </w:t>
      </w:r>
      <w:r w:rsidRPr="00793001">
        <w:rPr>
          <w:rFonts w:ascii="Verdana" w:eastAsia="Times New Roman" w:hAnsi="Verdana" w:cs="Times New Roman"/>
          <w:color w:val="000000"/>
          <w:sz w:val="20"/>
          <w:szCs w:val="20"/>
          <w:lang w:eastAsia="tr-TR"/>
        </w:rPr>
        <w:t>ve ekinde yabancı uyruklu ortakların şirket yöneticilerini atama veya görevden alma yetkilerinin gösteren sicil gazetesi suretini 2 nüsha olarak (birden fazla belge talep edilmesi halinde her belge için ilaveten 1 nüsha) ibraz ederek müracaat etmeleri gerekmektedir.</w:t>
      </w:r>
    </w:p>
    <w:p w:rsidR="00847089" w:rsidRDefault="00793001" w:rsidP="00793001">
      <w:r w:rsidRPr="00793001">
        <w:rPr>
          <w:rFonts w:ascii="Verdana" w:eastAsia="Times New Roman" w:hAnsi="Verdana" w:cs="Times New Roman"/>
          <w:color w:val="000000"/>
          <w:sz w:val="20"/>
          <w:szCs w:val="20"/>
          <w:lang w:eastAsia="tr-TR"/>
        </w:rPr>
        <w:t xml:space="preserve">5 – Doğrudan veya dolaylı </w:t>
      </w:r>
      <w:r w:rsidRPr="00793001">
        <w:rPr>
          <w:rFonts w:ascii="Verdana" w:eastAsia="Times New Roman" w:hAnsi="Verdana" w:cs="Times New Roman"/>
          <w:b/>
          <w:color w:val="000000"/>
          <w:sz w:val="20"/>
          <w:szCs w:val="20"/>
          <w:lang w:eastAsia="tr-TR"/>
        </w:rPr>
        <w:t>yabancı sermaye oranı % 50 ve üzerinde</w:t>
      </w:r>
      <w:r w:rsidRPr="00793001">
        <w:rPr>
          <w:rFonts w:ascii="Verdana" w:eastAsia="Times New Roman" w:hAnsi="Verdana" w:cs="Times New Roman"/>
          <w:color w:val="000000"/>
          <w:sz w:val="20"/>
          <w:szCs w:val="20"/>
          <w:lang w:eastAsia="tr-TR"/>
        </w:rPr>
        <w:t xml:space="preserve"> olan anonim, </w:t>
      </w:r>
      <w:proofErr w:type="spellStart"/>
      <w:r w:rsidRPr="00793001">
        <w:rPr>
          <w:rFonts w:ascii="Verdana" w:eastAsia="Times New Roman" w:hAnsi="Verdana" w:cs="Times New Roman"/>
          <w:color w:val="000000"/>
          <w:sz w:val="20"/>
          <w:szCs w:val="20"/>
          <w:lang w:eastAsia="tr-TR"/>
        </w:rPr>
        <w:t>limited</w:t>
      </w:r>
      <w:proofErr w:type="spellEnd"/>
      <w:r w:rsidRPr="00793001">
        <w:rPr>
          <w:rFonts w:ascii="Verdana" w:eastAsia="Times New Roman" w:hAnsi="Verdana" w:cs="Times New Roman"/>
          <w:color w:val="000000"/>
          <w:sz w:val="20"/>
          <w:szCs w:val="20"/>
          <w:lang w:eastAsia="tr-TR"/>
        </w:rPr>
        <w:t xml:space="preserve">, </w:t>
      </w:r>
      <w:proofErr w:type="spellStart"/>
      <w:r w:rsidRPr="00793001">
        <w:rPr>
          <w:rFonts w:ascii="Verdana" w:eastAsia="Times New Roman" w:hAnsi="Verdana" w:cs="Times New Roman"/>
          <w:color w:val="000000"/>
          <w:sz w:val="20"/>
          <w:szCs w:val="20"/>
          <w:lang w:eastAsia="tr-TR"/>
        </w:rPr>
        <w:t>kollektif</w:t>
      </w:r>
      <w:proofErr w:type="spellEnd"/>
      <w:r w:rsidRPr="00793001">
        <w:rPr>
          <w:rFonts w:ascii="Verdana" w:eastAsia="Times New Roman" w:hAnsi="Verdana" w:cs="Times New Roman"/>
          <w:color w:val="000000"/>
          <w:sz w:val="20"/>
          <w:szCs w:val="20"/>
          <w:lang w:eastAsia="tr-TR"/>
        </w:rPr>
        <w:t xml:space="preserve"> ve komandit </w:t>
      </w:r>
      <w:r w:rsidRPr="00793001">
        <w:rPr>
          <w:rFonts w:ascii="Verdana" w:eastAsia="Times New Roman" w:hAnsi="Verdana" w:cs="Times New Roman"/>
          <w:b/>
          <w:color w:val="000000"/>
          <w:sz w:val="20"/>
          <w:szCs w:val="20"/>
          <w:lang w:eastAsia="tr-TR"/>
        </w:rPr>
        <w:t>şirketlerin gayrimenkul alımları izne tabidir</w:t>
      </w:r>
      <w:r w:rsidRPr="00793001">
        <w:rPr>
          <w:rFonts w:ascii="Verdana" w:eastAsia="Times New Roman" w:hAnsi="Verdana" w:cs="Times New Roman"/>
          <w:color w:val="000000"/>
          <w:sz w:val="20"/>
          <w:szCs w:val="20"/>
          <w:lang w:eastAsia="tr-TR"/>
        </w:rPr>
        <w:t xml:space="preserve">. Bu şirketler Müdürlüğümüzden gayrimenkul alımı için belge talep ettiklerinde, ekteki örneğe göre hazırlanmış 2 nüsha  </w:t>
      </w:r>
      <w:hyperlink r:id="rId8" w:history="1">
        <w:r w:rsidRPr="00793001">
          <w:rPr>
            <w:rFonts w:ascii="Verdana" w:eastAsia="Times New Roman" w:hAnsi="Verdana" w:cs="Times New Roman"/>
            <w:color w:val="0000FF"/>
            <w:sz w:val="20"/>
            <w:szCs w:val="20"/>
            <w:u w:val="single"/>
            <w:lang w:eastAsia="tr-TR"/>
          </w:rPr>
          <w:t>dilekçe ve tabloyu</w:t>
        </w:r>
      </w:hyperlink>
      <w:r w:rsidRPr="00793001">
        <w:rPr>
          <w:rFonts w:ascii="Verdana" w:eastAsia="Times New Roman" w:hAnsi="Verdana" w:cs="Times New Roman"/>
          <w:color w:val="000000"/>
          <w:sz w:val="20"/>
          <w:szCs w:val="20"/>
          <w:lang w:eastAsia="tr-TR"/>
        </w:rPr>
        <w:t xml:space="preserve"> ( birden fazla belge talep edilmesi halinde her belge için ilaveten bir nüsha dilekçe veya fotokopisi) Anonim Şirketlerin ayrıca </w:t>
      </w:r>
      <w:r w:rsidRPr="00793001">
        <w:rPr>
          <w:rFonts w:ascii="Verdana" w:eastAsia="Times New Roman" w:hAnsi="Verdana" w:cs="Times New Roman"/>
          <w:b/>
          <w:color w:val="000000"/>
          <w:sz w:val="20"/>
          <w:szCs w:val="20"/>
          <w:lang w:eastAsia="tr-TR"/>
        </w:rPr>
        <w:t>pay defterlerinin yabancı ortaklara ilişkin sayfalarının noter onaylı suretlerini</w:t>
      </w:r>
      <w:r w:rsidRPr="00793001">
        <w:rPr>
          <w:rFonts w:ascii="Verdana" w:eastAsia="Times New Roman" w:hAnsi="Verdana" w:cs="Times New Roman"/>
          <w:color w:val="000000"/>
          <w:sz w:val="20"/>
          <w:szCs w:val="20"/>
          <w:lang w:eastAsia="tr-TR"/>
        </w:rPr>
        <w:t xml:space="preserve"> ibraz etmeleri gerekmektedir.</w:t>
      </w:r>
    </w:p>
    <w:sectPr w:rsidR="00847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01"/>
    <w:rsid w:val="00793001"/>
    <w:rsid w:val="008470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B2C9A-8479-4110-BAE1-4F0A56B5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93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29450">
      <w:bodyDiv w:val="1"/>
      <w:marLeft w:val="0"/>
      <w:marRight w:val="0"/>
      <w:marTop w:val="0"/>
      <w:marBottom w:val="0"/>
      <w:divBdr>
        <w:top w:val="none" w:sz="0" w:space="0" w:color="auto"/>
        <w:left w:val="none" w:sz="0" w:space="0" w:color="auto"/>
        <w:bottom w:val="none" w:sz="0" w:space="0" w:color="auto"/>
        <w:right w:val="none" w:sz="0" w:space="0" w:color="auto"/>
      </w:divBdr>
      <w:divsChild>
        <w:div w:id="1714847157">
          <w:marLeft w:val="0"/>
          <w:marRight w:val="0"/>
          <w:marTop w:val="0"/>
          <w:marBottom w:val="0"/>
          <w:divBdr>
            <w:top w:val="none" w:sz="0" w:space="0" w:color="auto"/>
            <w:left w:val="none" w:sz="0" w:space="0" w:color="auto"/>
            <w:bottom w:val="none" w:sz="0" w:space="0" w:color="auto"/>
            <w:right w:val="none" w:sz="0" w:space="0" w:color="auto"/>
          </w:divBdr>
          <w:divsChild>
            <w:div w:id="636373316">
              <w:marLeft w:val="0"/>
              <w:marRight w:val="0"/>
              <w:marTop w:val="0"/>
              <w:marBottom w:val="0"/>
              <w:divBdr>
                <w:top w:val="none" w:sz="0" w:space="0" w:color="auto"/>
                <w:left w:val="none" w:sz="0" w:space="0" w:color="auto"/>
                <w:bottom w:val="none" w:sz="0" w:space="0" w:color="auto"/>
                <w:right w:val="none" w:sz="0" w:space="0" w:color="auto"/>
              </w:divBdr>
              <w:divsChild>
                <w:div w:id="752746782">
                  <w:marLeft w:val="60"/>
                  <w:marRight w:val="60"/>
                  <w:marTop w:val="60"/>
                  <w:marBottom w:val="60"/>
                  <w:divBdr>
                    <w:top w:val="none" w:sz="0" w:space="0" w:color="auto"/>
                    <w:left w:val="none" w:sz="0" w:space="0" w:color="auto"/>
                    <w:bottom w:val="none" w:sz="0" w:space="0" w:color="auto"/>
                    <w:right w:val="none" w:sz="0" w:space="0" w:color="auto"/>
                  </w:divBdr>
                  <w:divsChild>
                    <w:div w:id="1769542977">
                      <w:marLeft w:val="0"/>
                      <w:marRight w:val="0"/>
                      <w:marTop w:val="0"/>
                      <w:marBottom w:val="0"/>
                      <w:divBdr>
                        <w:top w:val="none" w:sz="0" w:space="0" w:color="auto"/>
                        <w:left w:val="none" w:sz="0" w:space="0" w:color="auto"/>
                        <w:bottom w:val="none" w:sz="0" w:space="0" w:color="auto"/>
                        <w:right w:val="none" w:sz="0" w:space="0" w:color="auto"/>
                      </w:divBdr>
                      <w:divsChild>
                        <w:div w:id="1753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o.org.tr/ito/docs/portal_docs/tapu_yetki_bel_dilekce.doc" TargetMode="External"/><Relationship Id="rId3" Type="http://schemas.openxmlformats.org/officeDocument/2006/relationships/webSettings" Target="webSettings.xml"/><Relationship Id="rId7" Type="http://schemas.openxmlformats.org/officeDocument/2006/relationships/hyperlink" Target="http://www.ito.org.tr/ito/docs/portal_docs/tapu_yetki_bel_dilekce.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o.org.tr/ito/docs/portal_docs/tapu_yetki_bel_dilekce.doc" TargetMode="External"/><Relationship Id="rId5" Type="http://schemas.openxmlformats.org/officeDocument/2006/relationships/hyperlink" Target="http://www.ito.org.tr/ito/docs/portal_docs/tapu_yetki_bel_dilekce.doc" TargetMode="External"/><Relationship Id="rId10" Type="http://schemas.openxmlformats.org/officeDocument/2006/relationships/theme" Target="theme/theme1.xml"/><Relationship Id="rId4" Type="http://schemas.openxmlformats.org/officeDocument/2006/relationships/hyperlink" Target="http://www.ito.org.tr/ito/docs/portal_docs/tapu_yetki_bel_dilekce.doc"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2014-12-18T07:25:00Z</dcterms:created>
  <dcterms:modified xsi:type="dcterms:W3CDTF">2014-12-18T07:25:00Z</dcterms:modified>
</cp:coreProperties>
</file>